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623B9" w14:textId="4A652366" w:rsidR="0053049E" w:rsidRDefault="0053049E" w:rsidP="0007157A">
      <w:pPr>
        <w:jc w:val="center"/>
        <w:rPr>
          <w:rFonts w:ascii="Arial" w:hAnsi="Arial" w:cs="Arial"/>
          <w:b/>
          <w:sz w:val="28"/>
        </w:rPr>
      </w:pPr>
      <w:r>
        <w:rPr>
          <w:rFonts w:ascii="Arial" w:hAnsi="Arial" w:cs="Arial"/>
          <w:b/>
          <w:noProof/>
          <w:sz w:val="28"/>
          <w:lang w:eastAsia="es-ES"/>
        </w:rPr>
        <w:drawing>
          <wp:anchor distT="0" distB="0" distL="114300" distR="114300" simplePos="0" relativeHeight="251659264" behindDoc="0" locked="0" layoutInCell="1" allowOverlap="1" wp14:anchorId="6B7D24BC" wp14:editId="713D99BC">
            <wp:simplePos x="0" y="0"/>
            <wp:positionH relativeFrom="margin">
              <wp:align>right</wp:align>
            </wp:positionH>
            <wp:positionV relativeFrom="margin">
              <wp:posOffset>-364490</wp:posOffset>
            </wp:positionV>
            <wp:extent cx="2457450" cy="51879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4179_SIgnus 2 tintas.jpg"/>
                    <pic:cNvPicPr/>
                  </pic:nvPicPr>
                  <pic:blipFill>
                    <a:blip r:embed="rId5">
                      <a:extLst>
                        <a:ext uri="{28A0092B-C50C-407E-A947-70E740481C1C}">
                          <a14:useLocalDpi xmlns:a14="http://schemas.microsoft.com/office/drawing/2010/main" val="0"/>
                        </a:ext>
                      </a:extLst>
                    </a:blip>
                    <a:stretch>
                      <a:fillRect/>
                    </a:stretch>
                  </pic:blipFill>
                  <pic:spPr>
                    <a:xfrm>
                      <a:off x="0" y="0"/>
                      <a:ext cx="2457450" cy="518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lang w:eastAsia="es-ES"/>
        </w:rPr>
        <w:drawing>
          <wp:anchor distT="0" distB="0" distL="114300" distR="114300" simplePos="0" relativeHeight="251658240" behindDoc="0" locked="0" layoutInCell="1" allowOverlap="1" wp14:anchorId="6768B784" wp14:editId="52F514E3">
            <wp:simplePos x="0" y="0"/>
            <wp:positionH relativeFrom="margin">
              <wp:posOffset>-666750</wp:posOffset>
            </wp:positionH>
            <wp:positionV relativeFrom="margin">
              <wp:posOffset>-657225</wp:posOffset>
            </wp:positionV>
            <wp:extent cx="2124075" cy="96202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u_logo_pie.png"/>
                    <pic:cNvPicPr/>
                  </pic:nvPicPr>
                  <pic:blipFill>
                    <a:blip r:embed="rId6">
                      <a:extLst>
                        <a:ext uri="{28A0092B-C50C-407E-A947-70E740481C1C}">
                          <a14:useLocalDpi xmlns:a14="http://schemas.microsoft.com/office/drawing/2010/main" val="0"/>
                        </a:ext>
                      </a:extLst>
                    </a:blip>
                    <a:stretch>
                      <a:fillRect/>
                    </a:stretch>
                  </pic:blipFill>
                  <pic:spPr>
                    <a:xfrm>
                      <a:off x="0" y="0"/>
                      <a:ext cx="2124075" cy="962025"/>
                    </a:xfrm>
                    <a:prstGeom prst="rect">
                      <a:avLst/>
                    </a:prstGeom>
                  </pic:spPr>
                </pic:pic>
              </a:graphicData>
            </a:graphic>
          </wp:anchor>
        </w:drawing>
      </w:r>
    </w:p>
    <w:p w14:paraId="642FFFED" w14:textId="77777777" w:rsidR="0053049E" w:rsidRDefault="0053049E" w:rsidP="00BB25C1">
      <w:pPr>
        <w:rPr>
          <w:rFonts w:ascii="Arial" w:hAnsi="Arial" w:cs="Arial"/>
          <w:b/>
          <w:sz w:val="28"/>
        </w:rPr>
      </w:pPr>
    </w:p>
    <w:p w14:paraId="03750A29" w14:textId="53CE5901" w:rsidR="0007157A" w:rsidRPr="00D91BBD" w:rsidRDefault="0007157A" w:rsidP="00BB25C1">
      <w:pPr>
        <w:rPr>
          <w:rFonts w:ascii="Arial" w:hAnsi="Arial" w:cs="Arial"/>
          <w:b/>
          <w:sz w:val="28"/>
        </w:rPr>
      </w:pPr>
      <w:r w:rsidRPr="00D91BBD">
        <w:rPr>
          <w:rFonts w:ascii="Arial" w:hAnsi="Arial" w:cs="Arial"/>
          <w:b/>
          <w:sz w:val="28"/>
        </w:rPr>
        <w:t>COMIENZA LA GESTIÓN DE LOS NEUMÁTICOS DE DIÁMETRO SUPERIOR A 1.400 MM. QUE HAYAN SIDO DECLARADOS</w:t>
      </w:r>
    </w:p>
    <w:p w14:paraId="3C138BE7" w14:textId="77777777" w:rsidR="0007157A" w:rsidRDefault="0007157A" w:rsidP="0007157A">
      <w:pPr>
        <w:rPr>
          <w:b/>
          <w:i/>
        </w:rPr>
      </w:pPr>
    </w:p>
    <w:p w14:paraId="54EB01EC" w14:textId="18F8A453" w:rsidR="0007157A" w:rsidRPr="000F105B" w:rsidRDefault="0007157A" w:rsidP="0007157A">
      <w:pPr>
        <w:jc w:val="center"/>
        <w:rPr>
          <w:rFonts w:ascii="Arial" w:hAnsi="Arial" w:cs="Arial"/>
          <w:b/>
          <w:i/>
          <w:sz w:val="20"/>
          <w:szCs w:val="20"/>
        </w:rPr>
      </w:pPr>
      <w:r w:rsidRPr="000F105B">
        <w:rPr>
          <w:rFonts w:ascii="Arial" w:hAnsi="Arial" w:cs="Arial"/>
          <w:b/>
          <w:i/>
          <w:sz w:val="20"/>
          <w:szCs w:val="20"/>
        </w:rPr>
        <w:t xml:space="preserve">Los sistemas integrados de gestión de neumáticos fuera de uso gestionarán los </w:t>
      </w:r>
      <w:r>
        <w:rPr>
          <w:rFonts w:ascii="Arial" w:hAnsi="Arial" w:cs="Arial"/>
          <w:b/>
          <w:i/>
          <w:sz w:val="20"/>
          <w:szCs w:val="20"/>
        </w:rPr>
        <w:t xml:space="preserve">NFU generados por los </w:t>
      </w:r>
      <w:r w:rsidRPr="000F105B">
        <w:rPr>
          <w:rFonts w:ascii="Arial" w:hAnsi="Arial" w:cs="Arial"/>
          <w:b/>
          <w:i/>
          <w:sz w:val="20"/>
          <w:szCs w:val="20"/>
        </w:rPr>
        <w:t>neumáticos de diámetro sup</w:t>
      </w:r>
      <w:r>
        <w:rPr>
          <w:rFonts w:ascii="Arial" w:hAnsi="Arial" w:cs="Arial"/>
          <w:b/>
          <w:i/>
          <w:sz w:val="20"/>
          <w:szCs w:val="20"/>
        </w:rPr>
        <w:t xml:space="preserve">erior a 1.400 </w:t>
      </w:r>
      <w:proofErr w:type="spellStart"/>
      <w:r>
        <w:rPr>
          <w:rFonts w:ascii="Arial" w:hAnsi="Arial" w:cs="Arial"/>
          <w:b/>
          <w:i/>
          <w:sz w:val="20"/>
          <w:szCs w:val="20"/>
        </w:rPr>
        <w:t>mm.</w:t>
      </w:r>
      <w:proofErr w:type="spellEnd"/>
      <w:r>
        <w:rPr>
          <w:rFonts w:ascii="Arial" w:hAnsi="Arial" w:cs="Arial"/>
          <w:b/>
          <w:i/>
          <w:sz w:val="20"/>
          <w:szCs w:val="20"/>
        </w:rPr>
        <w:t xml:space="preserve"> que hayan sido p</w:t>
      </w:r>
      <w:r w:rsidRPr="000F105B">
        <w:rPr>
          <w:rFonts w:ascii="Arial" w:hAnsi="Arial" w:cs="Arial"/>
          <w:b/>
          <w:i/>
          <w:sz w:val="20"/>
          <w:szCs w:val="20"/>
        </w:rPr>
        <w:t>uesto</w:t>
      </w:r>
      <w:r>
        <w:rPr>
          <w:rFonts w:ascii="Arial" w:hAnsi="Arial" w:cs="Arial"/>
          <w:b/>
          <w:i/>
          <w:sz w:val="20"/>
          <w:szCs w:val="20"/>
        </w:rPr>
        <w:t>s</w:t>
      </w:r>
      <w:r w:rsidRPr="000F105B">
        <w:rPr>
          <w:rFonts w:ascii="Arial" w:hAnsi="Arial" w:cs="Arial"/>
          <w:b/>
          <w:i/>
          <w:sz w:val="20"/>
          <w:szCs w:val="20"/>
        </w:rPr>
        <w:t xml:space="preserve"> en el mercado con </w:t>
      </w:r>
      <w:r w:rsidR="00D12712">
        <w:rPr>
          <w:rFonts w:ascii="Arial" w:hAnsi="Arial" w:cs="Arial"/>
          <w:b/>
          <w:i/>
          <w:sz w:val="20"/>
          <w:szCs w:val="20"/>
        </w:rPr>
        <w:t>posterioridad</w:t>
      </w:r>
      <w:r w:rsidRPr="000F105B">
        <w:rPr>
          <w:rFonts w:ascii="Arial" w:hAnsi="Arial" w:cs="Arial"/>
          <w:b/>
          <w:i/>
          <w:sz w:val="20"/>
          <w:szCs w:val="20"/>
        </w:rPr>
        <w:t xml:space="preserve"> al 2 de enero de 2021.</w:t>
      </w:r>
    </w:p>
    <w:p w14:paraId="0E3726E8" w14:textId="77777777" w:rsidR="0007157A" w:rsidRDefault="0007157A" w:rsidP="0007157A">
      <w:pPr>
        <w:jc w:val="both"/>
        <w:rPr>
          <w:rFonts w:ascii="Arial" w:hAnsi="Arial" w:cs="Arial"/>
          <w:sz w:val="24"/>
          <w:szCs w:val="24"/>
        </w:rPr>
      </w:pPr>
    </w:p>
    <w:p w14:paraId="74DC4B99" w14:textId="0676F9A2" w:rsidR="0007157A" w:rsidRPr="00BB25C1" w:rsidRDefault="0007157A" w:rsidP="0007157A">
      <w:pPr>
        <w:jc w:val="both"/>
        <w:rPr>
          <w:rFonts w:ascii="Arial" w:hAnsi="Arial" w:cs="Arial"/>
          <w:sz w:val="23"/>
          <w:szCs w:val="23"/>
        </w:rPr>
      </w:pPr>
      <w:r w:rsidRPr="00BB25C1">
        <w:rPr>
          <w:rFonts w:ascii="Arial" w:hAnsi="Arial" w:cs="Arial"/>
          <w:sz w:val="23"/>
          <w:szCs w:val="23"/>
        </w:rPr>
        <w:t>Tras la modificación del RD 1619/2005, sobre la gestión de los neumáticos fuera de uso, el pasado mes de agosto, los productores tendrán la obligación de garantizar también la correcta gestión ambiental de los neumáticos fuera de uso (NFU) de un diámetro superior a 1.400 milímetros. El cumplimiento de esta obligación entrará en vigor a partir del próximo 2 de enero de 2021.</w:t>
      </w:r>
    </w:p>
    <w:p w14:paraId="424D2B10" w14:textId="604EC916" w:rsidR="0007157A" w:rsidRPr="00BB25C1" w:rsidRDefault="0007157A" w:rsidP="0007157A">
      <w:pPr>
        <w:jc w:val="both"/>
        <w:rPr>
          <w:rFonts w:ascii="Arial" w:hAnsi="Arial" w:cs="Arial"/>
          <w:sz w:val="23"/>
          <w:szCs w:val="23"/>
        </w:rPr>
      </w:pPr>
      <w:r w:rsidRPr="00BB25C1">
        <w:rPr>
          <w:rFonts w:ascii="Arial" w:hAnsi="Arial" w:cs="Arial"/>
          <w:sz w:val="23"/>
          <w:szCs w:val="23"/>
        </w:rPr>
        <w:t xml:space="preserve">Las entidades </w:t>
      </w:r>
      <w:r w:rsidR="00634B58" w:rsidRPr="00BB25C1">
        <w:rPr>
          <w:rFonts w:ascii="Arial" w:hAnsi="Arial" w:cs="Arial"/>
          <w:sz w:val="23"/>
          <w:szCs w:val="23"/>
        </w:rPr>
        <w:t xml:space="preserve">de gestión </w:t>
      </w:r>
      <w:r w:rsidRPr="00BB25C1">
        <w:rPr>
          <w:rFonts w:ascii="Arial" w:hAnsi="Arial" w:cs="Arial"/>
          <w:sz w:val="23"/>
          <w:szCs w:val="23"/>
        </w:rPr>
        <w:t xml:space="preserve">responsables de </w:t>
      </w:r>
      <w:r w:rsidR="00D12712" w:rsidRPr="00BB25C1">
        <w:rPr>
          <w:rFonts w:ascii="Arial" w:hAnsi="Arial" w:cs="Arial"/>
          <w:sz w:val="23"/>
          <w:szCs w:val="23"/>
        </w:rPr>
        <w:t>garantizar</w:t>
      </w:r>
      <w:r w:rsidRPr="00BB25C1">
        <w:rPr>
          <w:rFonts w:ascii="Arial" w:hAnsi="Arial" w:cs="Arial"/>
          <w:sz w:val="23"/>
          <w:szCs w:val="23"/>
        </w:rPr>
        <w:t xml:space="preserve"> la gestión de los residuos generados por los neumáticos puestos a la venta en el mercado español de reposición por sus empresas adheridas, llevan tiempo trabajando en el procedimiento para asumir la gestión de este tipo de neumáticos que, hasta la entrada en vigor de esta modificación, no formaban parte de las obligaciones de los productores de neumáticos.</w:t>
      </w:r>
    </w:p>
    <w:p w14:paraId="2579CFAB" w14:textId="5947BB36" w:rsidR="0007157A" w:rsidRPr="00BB25C1" w:rsidRDefault="00B93A22" w:rsidP="0007157A">
      <w:pPr>
        <w:jc w:val="both"/>
        <w:rPr>
          <w:rFonts w:ascii="Arial" w:hAnsi="Arial" w:cs="Arial"/>
          <w:sz w:val="23"/>
          <w:szCs w:val="23"/>
        </w:rPr>
      </w:pPr>
      <w:r w:rsidRPr="00BB25C1">
        <w:rPr>
          <w:rFonts w:ascii="Arial" w:hAnsi="Arial" w:cs="Arial"/>
          <w:sz w:val="23"/>
          <w:szCs w:val="23"/>
        </w:rPr>
        <w:t>L</w:t>
      </w:r>
      <w:r w:rsidR="0007157A" w:rsidRPr="00BB25C1">
        <w:rPr>
          <w:rFonts w:ascii="Arial" w:hAnsi="Arial" w:cs="Arial"/>
          <w:sz w:val="23"/>
          <w:szCs w:val="23"/>
        </w:rPr>
        <w:t>os</w:t>
      </w:r>
      <w:r w:rsidR="00634B58" w:rsidRPr="00BB25C1">
        <w:rPr>
          <w:rFonts w:ascii="Arial" w:hAnsi="Arial" w:cs="Arial"/>
          <w:sz w:val="23"/>
          <w:szCs w:val="23"/>
        </w:rPr>
        <w:t xml:space="preserve"> NFU</w:t>
      </w:r>
      <w:r w:rsidRPr="00BB25C1">
        <w:rPr>
          <w:rFonts w:ascii="Arial" w:hAnsi="Arial" w:cs="Arial"/>
          <w:sz w:val="23"/>
          <w:szCs w:val="23"/>
        </w:rPr>
        <w:t xml:space="preserve"> generados por los</w:t>
      </w:r>
      <w:r w:rsidR="0007157A" w:rsidRPr="00BB25C1">
        <w:rPr>
          <w:rFonts w:ascii="Arial" w:hAnsi="Arial" w:cs="Arial"/>
          <w:sz w:val="23"/>
          <w:szCs w:val="23"/>
        </w:rPr>
        <w:t xml:space="preserve"> neumáticos de más de 1.400 </w:t>
      </w:r>
      <w:proofErr w:type="spellStart"/>
      <w:r w:rsidR="0007157A" w:rsidRPr="00BB25C1">
        <w:rPr>
          <w:rFonts w:ascii="Arial" w:hAnsi="Arial" w:cs="Arial"/>
          <w:sz w:val="23"/>
          <w:szCs w:val="23"/>
        </w:rPr>
        <w:t>mm.</w:t>
      </w:r>
      <w:proofErr w:type="spellEnd"/>
      <w:r w:rsidR="0007157A" w:rsidRPr="00BB25C1">
        <w:rPr>
          <w:rFonts w:ascii="Arial" w:hAnsi="Arial" w:cs="Arial"/>
          <w:sz w:val="23"/>
          <w:szCs w:val="23"/>
        </w:rPr>
        <w:t xml:space="preserve"> puestos en el mercado con anterioridad a la entrada en vigor de esta obligación, continúan siendo responsabilidad de sus poseedores (usuarios y puntos de generación) y no serán ni recogidos, ni gestionados por los sistemas integrados de gestión, que establecerán los mecanismos necesarios para asumir sólo la recogida y el tratamiento de los neumáticos fuera de uso generados por el reemplazo de los que hayan pagado el correspondiente importe de gestión, tal y como se </w:t>
      </w:r>
      <w:r w:rsidR="005F12D5" w:rsidRPr="00BB25C1">
        <w:rPr>
          <w:rFonts w:ascii="Arial" w:hAnsi="Arial" w:cs="Arial"/>
          <w:sz w:val="23"/>
          <w:szCs w:val="23"/>
        </w:rPr>
        <w:t xml:space="preserve">deriva de la </w:t>
      </w:r>
      <w:r w:rsidR="00107194" w:rsidRPr="00BB25C1">
        <w:rPr>
          <w:rFonts w:ascii="Arial" w:hAnsi="Arial" w:cs="Arial"/>
          <w:sz w:val="23"/>
          <w:szCs w:val="23"/>
        </w:rPr>
        <w:t>nueva regulación.</w:t>
      </w:r>
    </w:p>
    <w:p w14:paraId="4D209834" w14:textId="1FF7AB7F" w:rsidR="0007157A" w:rsidRPr="00BB25C1" w:rsidRDefault="0007157A" w:rsidP="0007157A">
      <w:pPr>
        <w:jc w:val="both"/>
        <w:rPr>
          <w:rFonts w:ascii="Arial" w:hAnsi="Arial" w:cs="Arial"/>
          <w:sz w:val="23"/>
          <w:szCs w:val="23"/>
        </w:rPr>
      </w:pPr>
      <w:r w:rsidRPr="00BB25C1">
        <w:rPr>
          <w:rFonts w:ascii="Arial" w:hAnsi="Arial" w:cs="Arial"/>
          <w:sz w:val="23"/>
          <w:szCs w:val="23"/>
        </w:rPr>
        <w:t xml:space="preserve">Quedan así aclaradas algunas de las interpretaciones que han circulado sobre la responsabilidad de la gestión de los residuos generados por los neumáticos de más de 1.400 </w:t>
      </w:r>
      <w:proofErr w:type="spellStart"/>
      <w:r w:rsidRPr="00BB25C1">
        <w:rPr>
          <w:rFonts w:ascii="Arial" w:hAnsi="Arial" w:cs="Arial"/>
          <w:sz w:val="23"/>
          <w:szCs w:val="23"/>
        </w:rPr>
        <w:t>mm.</w:t>
      </w:r>
      <w:proofErr w:type="spellEnd"/>
      <w:r w:rsidRPr="00BB25C1">
        <w:rPr>
          <w:rFonts w:ascii="Arial" w:hAnsi="Arial" w:cs="Arial"/>
          <w:sz w:val="23"/>
          <w:szCs w:val="23"/>
        </w:rPr>
        <w:t>, adquiridos con anterioridad a la fecha de entrada de la obligación de su gestión por los productores.</w:t>
      </w:r>
    </w:p>
    <w:p w14:paraId="5383547E" w14:textId="153966DC" w:rsidR="00BB25C1" w:rsidRDefault="00BB25C1" w:rsidP="0007157A">
      <w:pPr>
        <w:jc w:val="both"/>
        <w:rPr>
          <w:rFonts w:ascii="Arial" w:hAnsi="Arial" w:cs="Arial"/>
          <w:sz w:val="24"/>
          <w:szCs w:val="24"/>
        </w:rPr>
        <w:sectPr w:rsidR="00BB25C1">
          <w:pgSz w:w="11906" w:h="16838"/>
          <w:pgMar w:top="1417" w:right="1701" w:bottom="1417" w:left="1701" w:header="708" w:footer="708" w:gutter="0"/>
          <w:cols w:space="708"/>
          <w:docGrid w:linePitch="360"/>
        </w:sectPr>
      </w:pPr>
    </w:p>
    <w:p w14:paraId="7A0C24CF" w14:textId="3EF92954" w:rsidR="00BB25C1" w:rsidRPr="00BB25C1" w:rsidRDefault="00BB25C1" w:rsidP="00BB25C1">
      <w:pPr>
        <w:jc w:val="center"/>
        <w:rPr>
          <w:rFonts w:ascii="Arial" w:hAnsi="Arial" w:cs="Arial"/>
          <w:sz w:val="21"/>
          <w:szCs w:val="21"/>
        </w:rPr>
      </w:pPr>
    </w:p>
    <w:p w14:paraId="26C6AF41" w14:textId="1486F770" w:rsidR="00BB25C1" w:rsidRPr="00BB25C1" w:rsidRDefault="00BB25C1" w:rsidP="00BB25C1">
      <w:pPr>
        <w:spacing w:line="240" w:lineRule="auto"/>
        <w:jc w:val="center"/>
        <w:rPr>
          <w:rFonts w:ascii="Arial" w:hAnsi="Arial" w:cs="Arial"/>
          <w:b/>
          <w:sz w:val="20"/>
          <w:szCs w:val="20"/>
        </w:rPr>
      </w:pPr>
      <w:r w:rsidRPr="00BB25C1">
        <w:rPr>
          <w:rFonts w:ascii="Arial" w:hAnsi="Arial" w:cs="Arial"/>
          <w:b/>
          <w:sz w:val="20"/>
          <w:szCs w:val="20"/>
        </w:rPr>
        <w:t>DEPARTAMENTO DE PRENSA SIGNUS</w:t>
      </w:r>
    </w:p>
    <w:p w14:paraId="79EE869E" w14:textId="77777777" w:rsidR="00BB25C1" w:rsidRPr="00BB25C1" w:rsidRDefault="00BB25C1" w:rsidP="00BB25C1">
      <w:pPr>
        <w:spacing w:line="240" w:lineRule="auto"/>
        <w:jc w:val="center"/>
        <w:rPr>
          <w:rFonts w:ascii="Arial" w:hAnsi="Arial" w:cs="Arial"/>
          <w:sz w:val="21"/>
          <w:szCs w:val="21"/>
        </w:rPr>
      </w:pPr>
      <w:r w:rsidRPr="00BB25C1">
        <w:rPr>
          <w:rFonts w:ascii="Arial" w:hAnsi="Arial" w:cs="Arial"/>
          <w:sz w:val="21"/>
          <w:szCs w:val="21"/>
        </w:rPr>
        <w:t>Isabel López-</w:t>
      </w:r>
      <w:proofErr w:type="spellStart"/>
      <w:r w:rsidRPr="00BB25C1">
        <w:rPr>
          <w:rFonts w:ascii="Arial" w:hAnsi="Arial" w:cs="Arial"/>
          <w:sz w:val="21"/>
          <w:szCs w:val="21"/>
        </w:rPr>
        <w:t>Rivadulla</w:t>
      </w:r>
      <w:proofErr w:type="spellEnd"/>
      <w:r w:rsidRPr="00BB25C1">
        <w:rPr>
          <w:rFonts w:ascii="Arial" w:hAnsi="Arial" w:cs="Arial"/>
          <w:sz w:val="21"/>
          <w:szCs w:val="21"/>
        </w:rPr>
        <w:t xml:space="preserve"> </w:t>
      </w:r>
      <w:proofErr w:type="spellStart"/>
      <w:r w:rsidRPr="00BB25C1">
        <w:rPr>
          <w:rFonts w:ascii="Arial" w:hAnsi="Arial" w:cs="Arial"/>
          <w:sz w:val="21"/>
          <w:szCs w:val="21"/>
        </w:rPr>
        <w:t>Sández</w:t>
      </w:r>
      <w:proofErr w:type="spellEnd"/>
    </w:p>
    <w:p w14:paraId="357A15CD" w14:textId="77777777" w:rsidR="00BB25C1" w:rsidRPr="00BB25C1" w:rsidRDefault="00BB25C1" w:rsidP="00BB25C1">
      <w:pPr>
        <w:spacing w:line="240" w:lineRule="auto"/>
        <w:jc w:val="center"/>
        <w:rPr>
          <w:rFonts w:ascii="Arial" w:hAnsi="Arial" w:cs="Arial"/>
          <w:sz w:val="21"/>
          <w:szCs w:val="21"/>
        </w:rPr>
      </w:pPr>
      <w:r w:rsidRPr="00BB25C1">
        <w:rPr>
          <w:rFonts w:ascii="Arial" w:hAnsi="Arial" w:cs="Arial"/>
          <w:sz w:val="21"/>
          <w:szCs w:val="21"/>
        </w:rPr>
        <w:t>ilopez@signus.es</w:t>
      </w:r>
    </w:p>
    <w:p w14:paraId="27A326A7" w14:textId="77777777" w:rsidR="00BB25C1" w:rsidRPr="00BB25C1" w:rsidRDefault="00BB25C1" w:rsidP="00BB25C1">
      <w:pPr>
        <w:spacing w:line="240" w:lineRule="auto"/>
        <w:jc w:val="center"/>
        <w:rPr>
          <w:rFonts w:ascii="Arial" w:hAnsi="Arial" w:cs="Arial"/>
          <w:sz w:val="21"/>
          <w:szCs w:val="21"/>
        </w:rPr>
      </w:pPr>
      <w:proofErr w:type="spellStart"/>
      <w:r w:rsidRPr="00BB25C1">
        <w:rPr>
          <w:rFonts w:ascii="Arial" w:hAnsi="Arial" w:cs="Arial"/>
          <w:sz w:val="21"/>
          <w:szCs w:val="21"/>
        </w:rPr>
        <w:t>Caleruega</w:t>
      </w:r>
      <w:proofErr w:type="spellEnd"/>
      <w:r w:rsidRPr="00BB25C1">
        <w:rPr>
          <w:rFonts w:ascii="Arial" w:hAnsi="Arial" w:cs="Arial"/>
          <w:sz w:val="21"/>
          <w:szCs w:val="21"/>
        </w:rPr>
        <w:t>, 102 5º 28033 Madrid</w:t>
      </w:r>
    </w:p>
    <w:p w14:paraId="390E8B97" w14:textId="77777777" w:rsidR="00BB25C1" w:rsidRPr="00BB25C1" w:rsidRDefault="00BB25C1" w:rsidP="00BB25C1">
      <w:pPr>
        <w:spacing w:line="240" w:lineRule="auto"/>
        <w:jc w:val="center"/>
        <w:rPr>
          <w:rFonts w:ascii="Arial" w:hAnsi="Arial" w:cs="Arial"/>
          <w:sz w:val="21"/>
          <w:szCs w:val="21"/>
        </w:rPr>
      </w:pPr>
      <w:r w:rsidRPr="00BB25C1">
        <w:rPr>
          <w:rFonts w:ascii="Arial" w:hAnsi="Arial" w:cs="Arial"/>
          <w:sz w:val="21"/>
          <w:szCs w:val="21"/>
        </w:rPr>
        <w:t>+34 91 768 14 35</w:t>
      </w:r>
    </w:p>
    <w:p w14:paraId="18CF2FF9" w14:textId="77777777" w:rsidR="00BB25C1" w:rsidRPr="00BB25C1" w:rsidRDefault="00BB25C1" w:rsidP="00BB25C1">
      <w:pPr>
        <w:spacing w:line="240" w:lineRule="auto"/>
        <w:jc w:val="center"/>
        <w:rPr>
          <w:rFonts w:ascii="Arial" w:hAnsi="Arial" w:cs="Arial"/>
          <w:sz w:val="21"/>
          <w:szCs w:val="21"/>
        </w:rPr>
      </w:pPr>
      <w:r w:rsidRPr="00BB25C1">
        <w:rPr>
          <w:rFonts w:ascii="Arial" w:hAnsi="Arial" w:cs="Arial"/>
          <w:sz w:val="21"/>
          <w:szCs w:val="21"/>
        </w:rPr>
        <w:t>www.signus.es</w:t>
      </w:r>
    </w:p>
    <w:p w14:paraId="7BEFB4B8" w14:textId="77777777" w:rsidR="00BB25C1" w:rsidRPr="00BB25C1" w:rsidRDefault="00BB25C1" w:rsidP="00BB25C1">
      <w:pPr>
        <w:spacing w:line="240" w:lineRule="auto"/>
        <w:jc w:val="center"/>
        <w:rPr>
          <w:rFonts w:ascii="Arial" w:hAnsi="Arial" w:cs="Arial"/>
          <w:b/>
          <w:sz w:val="21"/>
          <w:szCs w:val="21"/>
        </w:rPr>
      </w:pPr>
    </w:p>
    <w:p w14:paraId="129F2E8F" w14:textId="77777777" w:rsidR="00BB25C1" w:rsidRPr="00BB25C1" w:rsidRDefault="00BB25C1" w:rsidP="00BB25C1">
      <w:pPr>
        <w:spacing w:line="240" w:lineRule="auto"/>
        <w:jc w:val="center"/>
        <w:rPr>
          <w:rFonts w:ascii="Arial" w:hAnsi="Arial" w:cs="Arial"/>
          <w:b/>
          <w:sz w:val="21"/>
          <w:szCs w:val="21"/>
        </w:rPr>
      </w:pPr>
    </w:p>
    <w:p w14:paraId="53E3E1B2" w14:textId="428EFEB1" w:rsidR="00BB25C1" w:rsidRPr="00BB25C1" w:rsidRDefault="00BB25C1" w:rsidP="00BB25C1">
      <w:pPr>
        <w:spacing w:line="240" w:lineRule="auto"/>
        <w:rPr>
          <w:rFonts w:ascii="Arial" w:hAnsi="Arial" w:cs="Arial"/>
          <w:b/>
          <w:sz w:val="20"/>
          <w:szCs w:val="20"/>
        </w:rPr>
      </w:pPr>
      <w:r w:rsidRPr="00BB25C1">
        <w:rPr>
          <w:rFonts w:ascii="Arial" w:hAnsi="Arial" w:cs="Arial"/>
          <w:b/>
          <w:sz w:val="20"/>
          <w:szCs w:val="20"/>
        </w:rPr>
        <w:t xml:space="preserve">DEPARTAMENTO DE PRENSA </w:t>
      </w:r>
      <w:r w:rsidRPr="00BB25C1">
        <w:rPr>
          <w:rFonts w:ascii="Arial" w:hAnsi="Arial" w:cs="Arial"/>
          <w:b/>
          <w:sz w:val="20"/>
          <w:szCs w:val="20"/>
        </w:rPr>
        <w:t>TNU</w:t>
      </w:r>
    </w:p>
    <w:p w14:paraId="70EBB0A3" w14:textId="7D299171" w:rsidR="00BB25C1" w:rsidRPr="00BB25C1" w:rsidRDefault="00BB25C1" w:rsidP="00BB25C1">
      <w:pPr>
        <w:spacing w:line="240" w:lineRule="auto"/>
        <w:jc w:val="center"/>
        <w:rPr>
          <w:rFonts w:ascii="Arial" w:hAnsi="Arial" w:cs="Arial"/>
          <w:sz w:val="21"/>
          <w:szCs w:val="21"/>
        </w:rPr>
      </w:pPr>
      <w:r w:rsidRPr="00BB25C1">
        <w:rPr>
          <w:rFonts w:ascii="Arial" w:hAnsi="Arial" w:cs="Arial"/>
          <w:sz w:val="21"/>
          <w:szCs w:val="21"/>
        </w:rPr>
        <w:t>Estela Saura Asensio</w:t>
      </w:r>
    </w:p>
    <w:p w14:paraId="27D6B472" w14:textId="1F542809" w:rsidR="00BB25C1" w:rsidRPr="00BB25C1" w:rsidRDefault="00BB25C1" w:rsidP="00BB25C1">
      <w:pPr>
        <w:spacing w:line="240" w:lineRule="auto"/>
        <w:jc w:val="center"/>
        <w:rPr>
          <w:rFonts w:ascii="Arial" w:hAnsi="Arial" w:cs="Arial"/>
          <w:sz w:val="21"/>
          <w:szCs w:val="21"/>
        </w:rPr>
      </w:pPr>
      <w:hyperlink r:id="rId7" w:history="1">
        <w:r w:rsidRPr="00BB25C1">
          <w:rPr>
            <w:sz w:val="21"/>
            <w:szCs w:val="21"/>
          </w:rPr>
          <w:t>estela@pacosaura.com</w:t>
        </w:r>
      </w:hyperlink>
    </w:p>
    <w:p w14:paraId="3854B662" w14:textId="04DC65F2" w:rsidR="00BB25C1" w:rsidRPr="00BB25C1" w:rsidRDefault="00BB25C1" w:rsidP="00BB25C1">
      <w:pPr>
        <w:spacing w:line="240" w:lineRule="auto"/>
        <w:jc w:val="center"/>
        <w:rPr>
          <w:rFonts w:ascii="Arial" w:hAnsi="Arial" w:cs="Arial"/>
          <w:sz w:val="21"/>
          <w:szCs w:val="21"/>
        </w:rPr>
      </w:pPr>
      <w:proofErr w:type="spellStart"/>
      <w:r w:rsidRPr="00BB25C1">
        <w:rPr>
          <w:rFonts w:ascii="Arial" w:hAnsi="Arial" w:cs="Arial"/>
          <w:sz w:val="21"/>
          <w:szCs w:val="21"/>
        </w:rPr>
        <w:t>Bufart</w:t>
      </w:r>
      <w:proofErr w:type="spellEnd"/>
      <w:r w:rsidRPr="00BB25C1">
        <w:rPr>
          <w:rFonts w:ascii="Arial" w:hAnsi="Arial" w:cs="Arial"/>
          <w:sz w:val="21"/>
          <w:szCs w:val="21"/>
        </w:rPr>
        <w:t>, 29. 03203 Elche (Alicante)</w:t>
      </w:r>
    </w:p>
    <w:p w14:paraId="163FA5FF" w14:textId="38B2F17F" w:rsidR="00BB25C1" w:rsidRPr="00BB25C1" w:rsidRDefault="00BB25C1" w:rsidP="00BB25C1">
      <w:pPr>
        <w:spacing w:line="240" w:lineRule="auto"/>
        <w:jc w:val="center"/>
        <w:rPr>
          <w:rFonts w:ascii="Arial" w:hAnsi="Arial" w:cs="Arial"/>
          <w:sz w:val="21"/>
          <w:szCs w:val="21"/>
        </w:rPr>
      </w:pPr>
      <w:r w:rsidRPr="00BB25C1">
        <w:rPr>
          <w:rFonts w:ascii="Arial" w:hAnsi="Arial" w:cs="Arial"/>
          <w:sz w:val="21"/>
          <w:szCs w:val="21"/>
        </w:rPr>
        <w:t>+ 34 675 63 62 04</w:t>
      </w:r>
    </w:p>
    <w:p w14:paraId="43E76DA1" w14:textId="1BBD8953" w:rsidR="00BB25C1" w:rsidRPr="00BB25C1" w:rsidRDefault="00BB25C1" w:rsidP="00BB25C1">
      <w:pPr>
        <w:spacing w:line="240" w:lineRule="auto"/>
        <w:jc w:val="center"/>
        <w:rPr>
          <w:rFonts w:ascii="Arial" w:hAnsi="Arial" w:cs="Arial"/>
          <w:sz w:val="21"/>
          <w:szCs w:val="21"/>
        </w:rPr>
      </w:pPr>
      <w:r w:rsidRPr="00BB25C1">
        <w:rPr>
          <w:rFonts w:ascii="Arial" w:hAnsi="Arial" w:cs="Arial"/>
          <w:sz w:val="21"/>
          <w:szCs w:val="21"/>
        </w:rPr>
        <w:t>www.</w:t>
      </w:r>
      <w:r w:rsidRPr="00BB25C1">
        <w:rPr>
          <w:rFonts w:ascii="Arial" w:hAnsi="Arial" w:cs="Arial"/>
          <w:sz w:val="21"/>
          <w:szCs w:val="21"/>
        </w:rPr>
        <w:t>www.tnu.es</w:t>
      </w:r>
    </w:p>
    <w:p w14:paraId="767BEEDC" w14:textId="77777777" w:rsidR="0004614D" w:rsidRPr="00BB25C1" w:rsidRDefault="0004614D" w:rsidP="00BB25C1">
      <w:pPr>
        <w:spacing w:line="240" w:lineRule="auto"/>
        <w:jc w:val="both"/>
        <w:rPr>
          <w:rFonts w:ascii="Arial" w:hAnsi="Arial" w:cs="Arial"/>
          <w:sz w:val="20"/>
          <w:szCs w:val="20"/>
        </w:rPr>
      </w:pPr>
      <w:bookmarkStart w:id="0" w:name="_GoBack"/>
      <w:bookmarkEnd w:id="0"/>
    </w:p>
    <w:sectPr w:rsidR="0004614D" w:rsidRPr="00BB25C1" w:rsidSect="00BB25C1">
      <w:type w:val="continuous"/>
      <w:pgSz w:w="11906" w:h="16838"/>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57A"/>
    <w:rsid w:val="0004614D"/>
    <w:rsid w:val="0007157A"/>
    <w:rsid w:val="00107194"/>
    <w:rsid w:val="00274C17"/>
    <w:rsid w:val="002D6A59"/>
    <w:rsid w:val="005035DF"/>
    <w:rsid w:val="0053049E"/>
    <w:rsid w:val="005F12D5"/>
    <w:rsid w:val="00634B58"/>
    <w:rsid w:val="00945C12"/>
    <w:rsid w:val="00B93A22"/>
    <w:rsid w:val="00BB25C1"/>
    <w:rsid w:val="00D12712"/>
    <w:rsid w:val="00D63000"/>
    <w:rsid w:val="00EF34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05790C"/>
  <w15:chartTrackingRefBased/>
  <w15:docId w15:val="{CB4E4904-ADCA-4F38-845E-94211DFFB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5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157A"/>
    <w:rPr>
      <w:sz w:val="16"/>
      <w:szCs w:val="16"/>
    </w:rPr>
  </w:style>
  <w:style w:type="paragraph" w:styleId="Textocomentario">
    <w:name w:val="annotation text"/>
    <w:basedOn w:val="Normal"/>
    <w:link w:val="TextocomentarioCar"/>
    <w:uiPriority w:val="99"/>
    <w:semiHidden/>
    <w:unhideWhenUsed/>
    <w:rsid w:val="000715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157A"/>
    <w:rPr>
      <w:sz w:val="20"/>
      <w:szCs w:val="20"/>
    </w:rPr>
  </w:style>
  <w:style w:type="paragraph" w:styleId="Textodeglobo">
    <w:name w:val="Balloon Text"/>
    <w:basedOn w:val="Normal"/>
    <w:link w:val="TextodegloboCar"/>
    <w:uiPriority w:val="99"/>
    <w:semiHidden/>
    <w:unhideWhenUsed/>
    <w:rsid w:val="000715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157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5F12D5"/>
    <w:rPr>
      <w:b/>
      <w:bCs/>
    </w:rPr>
  </w:style>
  <w:style w:type="character" w:customStyle="1" w:styleId="AsuntodelcomentarioCar">
    <w:name w:val="Asunto del comentario Car"/>
    <w:basedOn w:val="TextocomentarioCar"/>
    <w:link w:val="Asuntodelcomentario"/>
    <w:uiPriority w:val="99"/>
    <w:semiHidden/>
    <w:rsid w:val="005F12D5"/>
    <w:rPr>
      <w:b/>
      <w:bCs/>
      <w:sz w:val="20"/>
      <w:szCs w:val="20"/>
    </w:rPr>
  </w:style>
  <w:style w:type="character" w:styleId="Hipervnculo">
    <w:name w:val="Hyperlink"/>
    <w:basedOn w:val="Fuentedeprrafopredeter"/>
    <w:uiPriority w:val="99"/>
    <w:unhideWhenUsed/>
    <w:rsid w:val="00BB25C1"/>
    <w:rPr>
      <w:color w:val="0563C1" w:themeColor="hyperlink"/>
      <w:u w:val="single"/>
    </w:rPr>
  </w:style>
  <w:style w:type="character" w:styleId="Mencinsinresolver">
    <w:name w:val="Unresolved Mention"/>
    <w:basedOn w:val="Fuentedeprrafopredeter"/>
    <w:uiPriority w:val="99"/>
    <w:semiHidden/>
    <w:unhideWhenUsed/>
    <w:rsid w:val="00BB2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stela@pacosaura.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B6E14-AFC3-C745-AD28-57C6EBAE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349</Words>
  <Characters>1925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SIGNUS</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Lopez Rivadulla</dc:creator>
  <cp:keywords/>
  <dc:description/>
  <cp:lastModifiedBy>Microsoft Office User</cp:lastModifiedBy>
  <cp:revision>2</cp:revision>
  <dcterms:created xsi:type="dcterms:W3CDTF">2020-11-09T08:10:00Z</dcterms:created>
  <dcterms:modified xsi:type="dcterms:W3CDTF">2020-11-09T08:10:00Z</dcterms:modified>
</cp:coreProperties>
</file>